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Default="00977A42" w:rsidP="00977A42">
      <w:pPr>
        <w:jc w:val="center"/>
      </w:pPr>
      <w: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51D1AB6B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A84D57" w:rsidRPr="00A84D57">
        <w:t>SOCIÁLNÍ SLUŽBY UHERSKÝ BROD, příspěvková organizace</w:t>
      </w:r>
    </w:p>
    <w:p w14:paraId="29828FE8" w14:textId="352C68F5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A84D57" w:rsidRPr="00A84D57">
        <w:t>Nákup osobních automobilů na hybridní pohon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54551A4B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A84D57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A84D57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9</cp:revision>
  <cp:lastPrinted>2021-05-13T11:23:00Z</cp:lastPrinted>
  <dcterms:created xsi:type="dcterms:W3CDTF">2021-03-15T14:46:00Z</dcterms:created>
  <dcterms:modified xsi:type="dcterms:W3CDTF">2022-03-17T17:34:00Z</dcterms:modified>
</cp:coreProperties>
</file>